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91B" w:rsidRPr="006F691B" w:rsidRDefault="006F691B" w:rsidP="006F691B">
      <w:pPr>
        <w:spacing w:after="0" w:line="240" w:lineRule="auto"/>
        <w:outlineLvl w:val="1"/>
        <w:rPr>
          <w:rFonts w:ascii="Arial" w:eastAsia="Times New Roman" w:hAnsi="Arial" w:cs="Arial"/>
          <w:color w:val="1F1F1F"/>
          <w:sz w:val="48"/>
          <w:szCs w:val="48"/>
          <w:lang w:eastAsia="fr-FR"/>
        </w:rPr>
      </w:pPr>
      <w:r w:rsidRPr="006F691B">
        <w:rPr>
          <w:rFonts w:ascii="Arial" w:eastAsia="Times New Roman" w:hAnsi="Arial" w:cs="Arial"/>
          <w:color w:val="1F1F1F"/>
          <w:sz w:val="48"/>
          <w:szCs w:val="48"/>
          <w:lang w:eastAsia="fr-FR"/>
        </w:rPr>
        <w:drawing>
          <wp:anchor distT="0" distB="0" distL="114300" distR="114300" simplePos="0" relativeHeight="251658240" behindDoc="1" locked="0" layoutInCell="1" allowOverlap="1" wp14:anchorId="6173D10A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895350" cy="1208486"/>
            <wp:effectExtent l="0" t="0" r="0" b="0"/>
            <wp:wrapTight wrapText="bothSides">
              <wp:wrapPolygon edited="0">
                <wp:start x="0" y="0"/>
                <wp:lineTo x="0" y="21112"/>
                <wp:lineTo x="21140" y="21112"/>
                <wp:lineTo x="21140" y="0"/>
                <wp:lineTo x="0" y="0"/>
              </wp:wrapPolygon>
            </wp:wrapTight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208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691B">
        <w:rPr>
          <w:rFonts w:ascii="Arial" w:eastAsia="Times New Roman" w:hAnsi="Arial" w:cs="Arial"/>
          <w:color w:val="1F1F1F"/>
          <w:sz w:val="48"/>
          <w:szCs w:val="48"/>
          <w:lang w:eastAsia="fr-FR"/>
        </w:rPr>
        <w:t>Volume 32, Issue 1</w:t>
      </w:r>
    </w:p>
    <w:p w:rsidR="006F691B" w:rsidRPr="006F691B" w:rsidRDefault="006F691B" w:rsidP="006F691B">
      <w:pPr>
        <w:spacing w:after="0" w:line="240" w:lineRule="auto"/>
        <w:outlineLvl w:val="2"/>
        <w:rPr>
          <w:rFonts w:ascii="Arial" w:eastAsia="Times New Roman" w:hAnsi="Arial" w:cs="Arial"/>
          <w:color w:val="1F1F1F"/>
          <w:sz w:val="24"/>
          <w:szCs w:val="24"/>
          <w:lang w:eastAsia="fr-FR"/>
        </w:rPr>
      </w:pPr>
      <w:r w:rsidRPr="006F691B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Pages 1-130 (</w:t>
      </w:r>
      <w:proofErr w:type="spellStart"/>
      <w:r w:rsidRPr="006F691B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February</w:t>
      </w:r>
      <w:proofErr w:type="spellEnd"/>
      <w:r w:rsidRPr="006F691B">
        <w:rPr>
          <w:rFonts w:ascii="Arial" w:eastAsia="Times New Roman" w:hAnsi="Arial" w:cs="Arial"/>
          <w:color w:val="1F1F1F"/>
          <w:sz w:val="24"/>
          <w:szCs w:val="24"/>
          <w:lang w:eastAsia="fr-FR"/>
        </w:rPr>
        <w:t xml:space="preserve"> 2025)</w:t>
      </w:r>
      <w:bookmarkStart w:id="0" w:name="_GoBack"/>
      <w:bookmarkEnd w:id="0"/>
    </w:p>
    <w:p w:rsidR="006F691B" w:rsidRDefault="006F691B" w:rsidP="002325F1">
      <w:pPr>
        <w:rPr>
          <w:b/>
          <w:lang w:val="en-US"/>
        </w:rPr>
      </w:pPr>
    </w:p>
    <w:p w:rsidR="002325F1" w:rsidRPr="00DE2EE2" w:rsidRDefault="002325F1" w:rsidP="002325F1">
      <w:r w:rsidRPr="002325F1">
        <w:rPr>
          <w:b/>
          <w:lang w:val="en-US"/>
        </w:rPr>
        <w:t>Assessment of machine learning classifiers for predicting intraoperative blood transfusion in non-cardiac surgery</w:t>
      </w:r>
      <w:r>
        <w:rPr>
          <w:b/>
          <w:lang w:val="en-US"/>
        </w:rPr>
        <w:t xml:space="preserve">. </w:t>
      </w:r>
      <w:proofErr w:type="spellStart"/>
      <w:r w:rsidRPr="00DE2EE2">
        <w:t>Insun</w:t>
      </w:r>
      <w:proofErr w:type="spellEnd"/>
      <w:r w:rsidRPr="00DE2EE2">
        <w:t xml:space="preserve"> Park et al.</w:t>
      </w:r>
      <w:r w:rsidRPr="00DE2EE2">
        <w:rPr>
          <w:b/>
        </w:rPr>
        <w:t xml:space="preserve"> </w:t>
      </w:r>
      <w:r w:rsidRPr="00DE2EE2">
        <w:t>Pages 1-8</w:t>
      </w:r>
    </w:p>
    <w:p w:rsidR="002325F1" w:rsidRPr="0068496F" w:rsidRDefault="008065A2" w:rsidP="002325F1">
      <w:pPr>
        <w:rPr>
          <w:i/>
        </w:rPr>
      </w:pPr>
      <w:r w:rsidRPr="008065A2">
        <w:rPr>
          <w:i/>
        </w:rPr>
        <w:t>En chirurgie non cardiaque, l</w:t>
      </w:r>
      <w:r>
        <w:rPr>
          <w:i/>
        </w:rPr>
        <w:t>a meilleure technique d’IA pour prévoir un besoin transfusionnel</w:t>
      </w:r>
      <w:r w:rsidR="0068496F">
        <w:rPr>
          <w:i/>
        </w:rPr>
        <w:t xml:space="preserve"> pendant l’intervention</w:t>
      </w:r>
      <w:r>
        <w:rPr>
          <w:i/>
        </w:rPr>
        <w:t xml:space="preserve"> est la régression logistique et les paramètres clefs sont la longueur de l’intervention, l’Hb préopératoire </w:t>
      </w:r>
      <w:r w:rsidR="0068496F">
        <w:rPr>
          <w:i/>
        </w:rPr>
        <w:t>et la chirurgie « ouverte » (i.e. sans robot ou vidéo).</w:t>
      </w:r>
    </w:p>
    <w:p w:rsidR="002325F1" w:rsidRPr="00DE2EE2" w:rsidRDefault="002325F1" w:rsidP="002325F1">
      <w:r w:rsidRPr="002325F1">
        <w:rPr>
          <w:b/>
          <w:lang w:val="en-US"/>
        </w:rPr>
        <w:t xml:space="preserve">Prevalence and risk factors of alloimmunization in multi-transfused pediatric patients: A cross-sectional study from a sub-Himalayan tertiary care hospital in Uttarakhand India. </w:t>
      </w:r>
      <w:proofErr w:type="spellStart"/>
      <w:r w:rsidRPr="00DE2EE2">
        <w:t>Rajat</w:t>
      </w:r>
      <w:proofErr w:type="spellEnd"/>
      <w:r w:rsidRPr="00DE2EE2">
        <w:t xml:space="preserve"> </w:t>
      </w:r>
      <w:proofErr w:type="spellStart"/>
      <w:r w:rsidRPr="00DE2EE2">
        <w:t>Maini</w:t>
      </w:r>
      <w:proofErr w:type="spellEnd"/>
      <w:r w:rsidRPr="00DE2EE2">
        <w:t xml:space="preserve"> et al. Pages 9-14</w:t>
      </w:r>
    </w:p>
    <w:p w:rsidR="002325F1" w:rsidRPr="00872352" w:rsidRDefault="0068496F" w:rsidP="002325F1">
      <w:pPr>
        <w:rPr>
          <w:i/>
        </w:rPr>
      </w:pPr>
      <w:r w:rsidRPr="00872352">
        <w:rPr>
          <w:i/>
        </w:rPr>
        <w:t>En Inde, chez 113 enfants polytransfusés, 5,3% de RAI+ (83% anti-MNS1) et 17,7% d’auto-anticorps</w:t>
      </w:r>
      <w:r w:rsidR="00872352" w:rsidRPr="00872352">
        <w:rPr>
          <w:i/>
        </w:rPr>
        <w:t xml:space="preserve"> (liaison forte avec </w:t>
      </w:r>
      <w:r w:rsidR="00DE2EE2">
        <w:rPr>
          <w:i/>
        </w:rPr>
        <w:t xml:space="preserve">la présence </w:t>
      </w:r>
      <w:r w:rsidR="00872352" w:rsidRPr="00872352">
        <w:rPr>
          <w:i/>
        </w:rPr>
        <w:t>de transfusions antérieures).</w:t>
      </w:r>
    </w:p>
    <w:p w:rsidR="002325F1" w:rsidRPr="006F691B" w:rsidRDefault="002325F1" w:rsidP="002325F1">
      <w:r w:rsidRPr="002325F1">
        <w:rPr>
          <w:b/>
          <w:lang w:val="en-US"/>
        </w:rPr>
        <w:t xml:space="preserve">Developing a </w:t>
      </w:r>
      <w:proofErr w:type="spellStart"/>
      <w:r w:rsidRPr="002325F1">
        <w:rPr>
          <w:b/>
          <w:lang w:val="en-US"/>
        </w:rPr>
        <w:t>veno</w:t>
      </w:r>
      <w:proofErr w:type="spellEnd"/>
      <w:r w:rsidRPr="002325F1">
        <w:rPr>
          <w:b/>
          <w:lang w:val="en-US"/>
        </w:rPr>
        <w:t>-venous extracorporeal membrane oxygenation program during the COVID-19 pandemic: Don’t forget to notify the blood bank.</w:t>
      </w:r>
      <w:r>
        <w:rPr>
          <w:b/>
          <w:lang w:val="en-US"/>
        </w:rPr>
        <w:t xml:space="preserve"> </w:t>
      </w:r>
      <w:r w:rsidRPr="006F691B">
        <w:t>Alexis Berger et al. Pages 15-19</w:t>
      </w:r>
    </w:p>
    <w:p w:rsidR="002325F1" w:rsidRPr="00DE2EE2" w:rsidRDefault="00DE2EE2" w:rsidP="002325F1">
      <w:pPr>
        <w:rPr>
          <w:i/>
        </w:rPr>
      </w:pPr>
      <w:r w:rsidRPr="00DE2EE2">
        <w:rPr>
          <w:i/>
        </w:rPr>
        <w:t>92% des patients COVID ayant nécessité de l’ECMO ont dû être transfusés</w:t>
      </w:r>
      <w:r w:rsidR="00A438EF">
        <w:rPr>
          <w:i/>
        </w:rPr>
        <w:t>.</w:t>
      </w:r>
    </w:p>
    <w:p w:rsidR="002325F1" w:rsidRPr="006F691B" w:rsidRDefault="002325F1" w:rsidP="002325F1">
      <w:r w:rsidRPr="002325F1">
        <w:rPr>
          <w:b/>
          <w:lang w:val="en-US"/>
        </w:rPr>
        <w:t xml:space="preserve">Effect of platelet storage duration on platelet increment and clinical outcomes in critically ill patients – A </w:t>
      </w:r>
      <w:proofErr w:type="spellStart"/>
      <w:r w:rsidRPr="002325F1">
        <w:rPr>
          <w:b/>
          <w:lang w:val="en-US"/>
        </w:rPr>
        <w:t>randomised</w:t>
      </w:r>
      <w:proofErr w:type="spellEnd"/>
      <w:r w:rsidRPr="002325F1">
        <w:rPr>
          <w:b/>
          <w:lang w:val="en-US"/>
        </w:rPr>
        <w:t xml:space="preserve"> controlled trial.</w:t>
      </w:r>
      <w:r>
        <w:rPr>
          <w:b/>
          <w:lang w:val="en-US"/>
        </w:rPr>
        <w:t xml:space="preserve"> </w:t>
      </w:r>
      <w:proofErr w:type="spellStart"/>
      <w:r w:rsidRPr="006F691B">
        <w:t>Vivek</w:t>
      </w:r>
      <w:proofErr w:type="spellEnd"/>
      <w:r w:rsidRPr="006F691B">
        <w:t xml:space="preserve"> </w:t>
      </w:r>
      <w:proofErr w:type="spellStart"/>
      <w:r w:rsidRPr="006F691B">
        <w:t>Muraleedharan</w:t>
      </w:r>
      <w:proofErr w:type="spellEnd"/>
      <w:r w:rsidRPr="006F691B">
        <w:t xml:space="preserve"> et al. Pages 20-27</w:t>
      </w:r>
    </w:p>
    <w:p w:rsidR="002325F1" w:rsidRPr="00A438EF" w:rsidRDefault="00DE2EE2" w:rsidP="002325F1">
      <w:pPr>
        <w:rPr>
          <w:i/>
        </w:rPr>
      </w:pPr>
      <w:r w:rsidRPr="00A438EF">
        <w:rPr>
          <w:i/>
        </w:rPr>
        <w:t xml:space="preserve">RCT chez </w:t>
      </w:r>
      <w:r w:rsidR="00A438EF" w:rsidRPr="00A438EF">
        <w:rPr>
          <w:i/>
        </w:rPr>
        <w:t xml:space="preserve">74 </w:t>
      </w:r>
      <w:r w:rsidRPr="00A438EF">
        <w:rPr>
          <w:i/>
        </w:rPr>
        <w:t xml:space="preserve">patients </w:t>
      </w:r>
      <w:r w:rsidR="00A438EF" w:rsidRPr="00A438EF">
        <w:rPr>
          <w:i/>
        </w:rPr>
        <w:t xml:space="preserve">recevant des plaquettes aux urgences : les CP </w:t>
      </w:r>
      <w:r w:rsidR="00A438EF" w:rsidRPr="00A438EF">
        <w:rPr>
          <w:rFonts w:cstheme="minorHAnsi"/>
          <w:i/>
        </w:rPr>
        <w:t>≤</w:t>
      </w:r>
      <w:r w:rsidR="00A438EF" w:rsidRPr="00A438EF">
        <w:rPr>
          <w:i/>
        </w:rPr>
        <w:t>3j ont une meilleure recirculation que les CP 4/5j, mais sans améliorer la morbi-mortalité.</w:t>
      </w:r>
    </w:p>
    <w:p w:rsidR="002325F1" w:rsidRPr="006F691B" w:rsidRDefault="002325F1" w:rsidP="002325F1">
      <w:r w:rsidRPr="002325F1">
        <w:rPr>
          <w:b/>
          <w:lang w:val="en-US"/>
        </w:rPr>
        <w:t xml:space="preserve">Comparative evaluation of hematological parameters and instrument performance in single and double plateletpheresis procedures using </w:t>
      </w:r>
      <w:proofErr w:type="spellStart"/>
      <w:r w:rsidRPr="002325F1">
        <w:rPr>
          <w:b/>
          <w:lang w:val="en-US"/>
        </w:rPr>
        <w:t>Haemonetics</w:t>
      </w:r>
      <w:proofErr w:type="spellEnd"/>
      <w:r w:rsidRPr="002325F1">
        <w:rPr>
          <w:b/>
          <w:lang w:val="en-US"/>
        </w:rPr>
        <w:t xml:space="preserve"> MCS+ and </w:t>
      </w:r>
      <w:proofErr w:type="spellStart"/>
      <w:r w:rsidRPr="002325F1">
        <w:rPr>
          <w:b/>
          <w:lang w:val="en-US"/>
        </w:rPr>
        <w:t>Trima</w:t>
      </w:r>
      <w:proofErr w:type="spellEnd"/>
      <w:r w:rsidRPr="002325F1">
        <w:rPr>
          <w:b/>
          <w:lang w:val="en-US"/>
        </w:rPr>
        <w:t xml:space="preserve"> Accel systems.</w:t>
      </w:r>
      <w:r>
        <w:rPr>
          <w:b/>
          <w:lang w:val="en-US"/>
        </w:rPr>
        <w:t xml:space="preserve"> </w:t>
      </w:r>
      <w:proofErr w:type="spellStart"/>
      <w:r w:rsidRPr="006F691B">
        <w:t>Niloufar</w:t>
      </w:r>
      <w:proofErr w:type="spellEnd"/>
      <w:r w:rsidRPr="006F691B">
        <w:t xml:space="preserve"> </w:t>
      </w:r>
      <w:proofErr w:type="spellStart"/>
      <w:r w:rsidRPr="006F691B">
        <w:t>Kazemi</w:t>
      </w:r>
      <w:proofErr w:type="spellEnd"/>
      <w:r w:rsidRPr="006F691B">
        <w:t xml:space="preserve"> </w:t>
      </w:r>
      <w:proofErr w:type="spellStart"/>
      <w:r w:rsidRPr="006F691B">
        <w:t>Babaahmadi</w:t>
      </w:r>
      <w:proofErr w:type="spellEnd"/>
      <w:r w:rsidRPr="006F691B">
        <w:t xml:space="preserve"> et al. Pages 28-38</w:t>
      </w:r>
    </w:p>
    <w:p w:rsidR="002325F1" w:rsidRPr="00A438EF" w:rsidRDefault="00A438EF" w:rsidP="002325F1">
      <w:pPr>
        <w:rPr>
          <w:i/>
        </w:rPr>
      </w:pPr>
      <w:r w:rsidRPr="00A438EF">
        <w:rPr>
          <w:i/>
        </w:rPr>
        <w:t>Trima se montre globalement plus performante que MCS+ en aphérèse de plaquettes, mais les deux donne</w:t>
      </w:r>
      <w:r w:rsidR="001702DD">
        <w:rPr>
          <w:i/>
        </w:rPr>
        <w:t>nt</w:t>
      </w:r>
      <w:r w:rsidRPr="00A438EF">
        <w:rPr>
          <w:i/>
        </w:rPr>
        <w:t xml:space="preserve"> une baisse des valeurs hématologiques des donneurs qui reste à surveiller</w:t>
      </w:r>
      <w:r>
        <w:rPr>
          <w:i/>
        </w:rPr>
        <w:t>.</w:t>
      </w:r>
    </w:p>
    <w:p w:rsidR="002325F1" w:rsidRPr="006F691B" w:rsidRDefault="002325F1" w:rsidP="002325F1">
      <w:r w:rsidRPr="002325F1">
        <w:rPr>
          <w:b/>
          <w:lang w:val="en-US"/>
        </w:rPr>
        <w:t>Trends in new hepatitis C virus infections among repeat blood donors – Georgia, 2017–2023.</w:t>
      </w:r>
      <w:r>
        <w:rPr>
          <w:b/>
          <w:lang w:val="en-US"/>
        </w:rPr>
        <w:t xml:space="preserve"> </w:t>
      </w:r>
      <w:r w:rsidRPr="006F691B">
        <w:t xml:space="preserve">Shaun </w:t>
      </w:r>
      <w:proofErr w:type="spellStart"/>
      <w:r w:rsidRPr="006F691B">
        <w:t>Shadaker</w:t>
      </w:r>
      <w:proofErr w:type="spellEnd"/>
      <w:r w:rsidRPr="006F691B">
        <w:t xml:space="preserve"> et al. Pages 39-43</w:t>
      </w:r>
    </w:p>
    <w:p w:rsidR="002325F1" w:rsidRPr="001702DD" w:rsidRDefault="001702DD" w:rsidP="002325F1">
      <w:pPr>
        <w:rPr>
          <w:i/>
        </w:rPr>
      </w:pPr>
      <w:r w:rsidRPr="001702DD">
        <w:rPr>
          <w:i/>
        </w:rPr>
        <w:t>En Géorgie (USA), les séroconversions HCV ont décliné entre 2017 et 2023, mais restent préoccupantes chez les jeunes hommes, et particulièrement en cas de séjour en prison.</w:t>
      </w:r>
    </w:p>
    <w:p w:rsidR="002325F1" w:rsidRPr="006F691B" w:rsidRDefault="002325F1" w:rsidP="002325F1">
      <w:r w:rsidRPr="002325F1">
        <w:rPr>
          <w:b/>
          <w:lang w:val="en-US"/>
        </w:rPr>
        <w:t>Electronic prescription of Labile Blood Products: A cultural revolution by the APHM and EFS PACA-Corsica!</w:t>
      </w:r>
      <w:r>
        <w:rPr>
          <w:b/>
          <w:lang w:val="en-US"/>
        </w:rPr>
        <w:t xml:space="preserve"> </w:t>
      </w:r>
      <w:r w:rsidRPr="006F691B">
        <w:t>Bernard Lassale et al. Pages 44-47</w:t>
      </w:r>
    </w:p>
    <w:p w:rsidR="002325F1" w:rsidRPr="00156D29" w:rsidRDefault="00156D29" w:rsidP="002325F1">
      <w:pPr>
        <w:rPr>
          <w:i/>
        </w:rPr>
      </w:pPr>
      <w:r w:rsidRPr="00156D29">
        <w:rPr>
          <w:i/>
        </w:rPr>
        <w:t>Description d’une démarche d’informatisation de la prescription de PSL, des difficultés techniques et humaines rencontrées, et des bénéfices qui en ont été retirés.</w:t>
      </w:r>
    </w:p>
    <w:p w:rsidR="002325F1" w:rsidRPr="006F691B" w:rsidRDefault="002325F1" w:rsidP="002325F1">
      <w:r w:rsidRPr="002325F1">
        <w:rPr>
          <w:b/>
          <w:lang w:val="en-US"/>
        </w:rPr>
        <w:t xml:space="preserve">HLA class I and class II alleles and haplotypes of Algerian population from Algiers and </w:t>
      </w:r>
      <w:proofErr w:type="spellStart"/>
      <w:r w:rsidRPr="002325F1">
        <w:rPr>
          <w:b/>
          <w:lang w:val="en-US"/>
        </w:rPr>
        <w:t>neighbouring</w:t>
      </w:r>
      <w:proofErr w:type="spellEnd"/>
      <w:r w:rsidRPr="002325F1">
        <w:rPr>
          <w:b/>
          <w:lang w:val="en-US"/>
        </w:rPr>
        <w:t xml:space="preserve"> area.</w:t>
      </w:r>
      <w:r>
        <w:rPr>
          <w:b/>
          <w:lang w:val="en-US"/>
        </w:rPr>
        <w:t xml:space="preserve"> </w:t>
      </w:r>
      <w:r w:rsidRPr="006F691B">
        <w:t>Malika Bouali-</w:t>
      </w:r>
      <w:proofErr w:type="spellStart"/>
      <w:r w:rsidRPr="006F691B">
        <w:t>Benhalima</w:t>
      </w:r>
      <w:proofErr w:type="spellEnd"/>
      <w:r w:rsidRPr="006F691B">
        <w:t xml:space="preserve"> et al. Pages 48-55</w:t>
      </w:r>
    </w:p>
    <w:p w:rsidR="002325F1" w:rsidRPr="00923138" w:rsidRDefault="00923138" w:rsidP="002325F1">
      <w:pPr>
        <w:rPr>
          <w:i/>
        </w:rPr>
      </w:pPr>
      <w:r w:rsidRPr="00923138">
        <w:rPr>
          <w:i/>
        </w:rPr>
        <w:t>Génotypage HLA (PCR-SSP) de 1082 sujets sains algériens permettant une analyse anthropo-génétique.</w:t>
      </w:r>
    </w:p>
    <w:p w:rsidR="002325F1" w:rsidRPr="006F691B" w:rsidRDefault="002325F1" w:rsidP="002325F1">
      <w:r w:rsidRPr="002325F1">
        <w:rPr>
          <w:b/>
          <w:lang w:val="en-US"/>
        </w:rPr>
        <w:lastRenderedPageBreak/>
        <w:t>Exploration of HLA-matched platelet units in HLA-immunized PTR: A retrospective study of patients with hematological disorders.</w:t>
      </w:r>
      <w:r>
        <w:rPr>
          <w:b/>
          <w:lang w:val="en-US"/>
        </w:rPr>
        <w:t xml:space="preserve"> </w:t>
      </w:r>
      <w:proofErr w:type="spellStart"/>
      <w:r w:rsidRPr="006F691B">
        <w:t>Yuanling</w:t>
      </w:r>
      <w:proofErr w:type="spellEnd"/>
      <w:r w:rsidRPr="006F691B">
        <w:t xml:space="preserve"> </w:t>
      </w:r>
      <w:proofErr w:type="spellStart"/>
      <w:r w:rsidRPr="006F691B">
        <w:t>Zuo</w:t>
      </w:r>
      <w:proofErr w:type="spellEnd"/>
      <w:r w:rsidRPr="006F691B">
        <w:t xml:space="preserve"> et al. Pages 56-61</w:t>
      </w:r>
    </w:p>
    <w:p w:rsidR="002325F1" w:rsidRPr="00A049E4" w:rsidRDefault="007E026F" w:rsidP="002325F1">
      <w:pPr>
        <w:rPr>
          <w:i/>
        </w:rPr>
      </w:pPr>
      <w:r w:rsidRPr="00A049E4">
        <w:rPr>
          <w:i/>
        </w:rPr>
        <w:t xml:space="preserve">Chez 9 patients avec inefficacité transfusionnelle plaquettaire immunologique, </w:t>
      </w:r>
      <w:r w:rsidR="00A049E4" w:rsidRPr="00A049E4">
        <w:rPr>
          <w:i/>
        </w:rPr>
        <w:t>en l’absence de facteurs supplémentaires non immunologiques, l’efficacité est assez comparable entre les CP tout venant, les CP cross-matchés et les CP HLA-compatibles (respectivement 40%, 50% et 54%).</w:t>
      </w:r>
      <w:r w:rsidR="00A049E4">
        <w:t xml:space="preserve"> </w:t>
      </w:r>
      <w:r w:rsidR="00A049E4" w:rsidRPr="00A049E4">
        <w:rPr>
          <w:i/>
        </w:rPr>
        <w:t>L’efficacité diverge beaucoup plus quand il y a des facteurs non immunologiques (respectivement 10%, 25% et 44%).</w:t>
      </w:r>
    </w:p>
    <w:p w:rsidR="002325F1" w:rsidRPr="006F691B" w:rsidRDefault="002325F1" w:rsidP="002325F1">
      <w:r w:rsidRPr="002325F1">
        <w:rPr>
          <w:b/>
          <w:lang w:val="en-US"/>
        </w:rPr>
        <w:t xml:space="preserve">The association of red blood cell transfusion with mortality in pediatric patients with sepsis, severe sepsis, and septic shock: A single-center retrospective cohort study. </w:t>
      </w:r>
      <w:proofErr w:type="spellStart"/>
      <w:r w:rsidRPr="006F691B">
        <w:t>Mingwei</w:t>
      </w:r>
      <w:proofErr w:type="spellEnd"/>
      <w:r w:rsidRPr="006F691B">
        <w:t xml:space="preserve"> Yin et al. Pages 62-68</w:t>
      </w:r>
    </w:p>
    <w:p w:rsidR="002325F1" w:rsidRPr="00BA5115" w:rsidRDefault="00BE6C7C" w:rsidP="002325F1">
      <w:pPr>
        <w:rPr>
          <w:i/>
        </w:rPr>
      </w:pPr>
      <w:r w:rsidRPr="00BA5115">
        <w:rPr>
          <w:i/>
        </w:rPr>
        <w:t>Chez 100 enfants aux urgences avec septicémie, 2/3 sont transfusés en CGR</w:t>
      </w:r>
      <w:r w:rsidR="00BA5115" w:rsidRPr="00BA5115">
        <w:rPr>
          <w:i/>
        </w:rPr>
        <w:t xml:space="preserve">. La transfusion est statistiquement liée à </w:t>
      </w:r>
      <w:r w:rsidRPr="00BA5115">
        <w:rPr>
          <w:i/>
        </w:rPr>
        <w:t>prolongation de la durée de séjour</w:t>
      </w:r>
      <w:r w:rsidR="00BA5115" w:rsidRPr="00BA5115">
        <w:rPr>
          <w:i/>
        </w:rPr>
        <w:t xml:space="preserve"> (hausse également pour la mortalité, mais pas statistiquement significative).</w:t>
      </w:r>
    </w:p>
    <w:p w:rsidR="002325F1" w:rsidRPr="006F691B" w:rsidRDefault="002325F1" w:rsidP="002325F1">
      <w:r w:rsidRPr="002325F1">
        <w:rPr>
          <w:b/>
          <w:lang w:val="en-US"/>
        </w:rPr>
        <w:t>Reducing deterrents to engage in plasmapheresis donation: Evaluation of an experimental flyer.</w:t>
      </w:r>
      <w:r>
        <w:rPr>
          <w:b/>
          <w:lang w:val="en-US"/>
        </w:rPr>
        <w:t xml:space="preserve"> </w:t>
      </w:r>
      <w:r w:rsidRPr="006F691B">
        <w:t xml:space="preserve">Antoine </w:t>
      </w:r>
      <w:proofErr w:type="spellStart"/>
      <w:r w:rsidRPr="006F691B">
        <w:t>Beurel-Tréhan</w:t>
      </w:r>
      <w:proofErr w:type="spellEnd"/>
      <w:r w:rsidRPr="006F691B">
        <w:t xml:space="preserve"> et al. Pages 69-76</w:t>
      </w:r>
    </w:p>
    <w:p w:rsidR="002325F1" w:rsidRPr="0010681D" w:rsidRDefault="0010681D" w:rsidP="002325F1">
      <w:pPr>
        <w:rPr>
          <w:i/>
        </w:rPr>
      </w:pPr>
      <w:r w:rsidRPr="0010681D">
        <w:rPr>
          <w:i/>
        </w:rPr>
        <w:t>Pour encourager le don de plasmaphérèse, ces é</w:t>
      </w:r>
      <w:r w:rsidR="00BA5115" w:rsidRPr="0010681D">
        <w:rPr>
          <w:i/>
        </w:rPr>
        <w:t xml:space="preserve">tudes </w:t>
      </w:r>
      <w:r w:rsidRPr="0010681D">
        <w:rPr>
          <w:i/>
        </w:rPr>
        <w:t>montrent une supériorité à communiquer sur les barrières perçues par les donneurs plutôt que sur leur motivation.</w:t>
      </w:r>
    </w:p>
    <w:p w:rsidR="002325F1" w:rsidRPr="006F691B" w:rsidRDefault="002325F1" w:rsidP="002325F1">
      <w:r w:rsidRPr="002325F1">
        <w:rPr>
          <w:b/>
          <w:lang w:val="en-US"/>
        </w:rPr>
        <w:t>Insights into voluntary plasma donation: A study of motivators and obstacles.</w:t>
      </w:r>
      <w:r>
        <w:rPr>
          <w:b/>
          <w:lang w:val="en-US"/>
        </w:rPr>
        <w:t xml:space="preserve"> </w:t>
      </w:r>
      <w:proofErr w:type="spellStart"/>
      <w:r w:rsidRPr="006F691B">
        <w:t>Seyyede</w:t>
      </w:r>
      <w:proofErr w:type="spellEnd"/>
      <w:r w:rsidRPr="006F691B">
        <w:t xml:space="preserve"> </w:t>
      </w:r>
      <w:proofErr w:type="spellStart"/>
      <w:r w:rsidRPr="006F691B">
        <w:t>Fatemeh</w:t>
      </w:r>
      <w:proofErr w:type="spellEnd"/>
      <w:r w:rsidRPr="006F691B">
        <w:t xml:space="preserve"> </w:t>
      </w:r>
      <w:proofErr w:type="spellStart"/>
      <w:r w:rsidRPr="006F691B">
        <w:t>Shams</w:t>
      </w:r>
      <w:proofErr w:type="spellEnd"/>
      <w:r w:rsidRPr="006F691B">
        <w:t xml:space="preserve"> et al. Pages 77-81</w:t>
      </w:r>
    </w:p>
    <w:p w:rsidR="002325F1" w:rsidRPr="0010681D" w:rsidRDefault="0010681D" w:rsidP="002325F1">
      <w:pPr>
        <w:rPr>
          <w:i/>
        </w:rPr>
      </w:pPr>
      <w:r w:rsidRPr="0010681D">
        <w:rPr>
          <w:i/>
        </w:rPr>
        <w:t>Analyse des motivations et des barrières chez des donneurs de plasmaphérèse en Iran.</w:t>
      </w:r>
    </w:p>
    <w:p w:rsidR="002325F1" w:rsidRPr="002325F1" w:rsidRDefault="002325F1" w:rsidP="002325F1">
      <w:r w:rsidRPr="002325F1">
        <w:rPr>
          <w:b/>
          <w:lang w:val="en-US"/>
        </w:rPr>
        <w:t>Hyperbilirubinemia in neonates with blood group incompatibilities − A bane or a boon for the management.</w:t>
      </w:r>
      <w:r>
        <w:rPr>
          <w:b/>
          <w:lang w:val="en-US"/>
        </w:rPr>
        <w:t xml:space="preserve"> </w:t>
      </w:r>
      <w:r w:rsidRPr="002325F1">
        <w:t xml:space="preserve">Smita </w:t>
      </w:r>
      <w:proofErr w:type="spellStart"/>
      <w:r w:rsidRPr="002325F1">
        <w:t>Mahapatra</w:t>
      </w:r>
      <w:proofErr w:type="spellEnd"/>
      <w:r w:rsidRPr="002325F1">
        <w:t xml:space="preserve"> et al. Pages 82-86</w:t>
      </w:r>
    </w:p>
    <w:p w:rsidR="002325F1" w:rsidRPr="00BA54C6" w:rsidRDefault="00BA54C6" w:rsidP="002325F1">
      <w:pPr>
        <w:rPr>
          <w:i/>
        </w:rPr>
      </w:pPr>
      <w:r w:rsidRPr="00BA54C6">
        <w:rPr>
          <w:i/>
        </w:rPr>
        <w:t>En Inde, analyse de la prise en charge de 190 nouveau-nés avec hyperbilirubinémie, dont 69 liés à une incompatibilité érythrocytaire.</w:t>
      </w:r>
    </w:p>
    <w:p w:rsidR="002325F1" w:rsidRPr="006F691B" w:rsidRDefault="002325F1" w:rsidP="002325F1">
      <w:r w:rsidRPr="002325F1">
        <w:rPr>
          <w:b/>
        </w:rPr>
        <w:t>Recommandations pour la réalisation des examens d’immuno-hématologie de première intention par les laboratoires médicaux.</w:t>
      </w:r>
      <w:r>
        <w:rPr>
          <w:b/>
        </w:rPr>
        <w:t xml:space="preserve"> </w:t>
      </w:r>
      <w:r w:rsidRPr="006F691B">
        <w:t xml:space="preserve">Patrick </w:t>
      </w:r>
      <w:proofErr w:type="spellStart"/>
      <w:r w:rsidRPr="006F691B">
        <w:t>Joubaud</w:t>
      </w:r>
      <w:proofErr w:type="spellEnd"/>
      <w:r w:rsidRPr="006F691B">
        <w:t xml:space="preserve"> et al. Pages 87-111</w:t>
      </w:r>
    </w:p>
    <w:p w:rsidR="002325F1" w:rsidRPr="00B95D11" w:rsidRDefault="00B95D11" w:rsidP="002325F1">
      <w:pPr>
        <w:rPr>
          <w:i/>
        </w:rPr>
      </w:pPr>
      <w:r w:rsidRPr="00B95D11">
        <w:rPr>
          <w:i/>
        </w:rPr>
        <w:t>Revue détaillée (en français) des recommandations de bonnes pratiques pour les laboratoires d’immuno-hématologie.</w:t>
      </w:r>
    </w:p>
    <w:p w:rsidR="002325F1" w:rsidRPr="006F691B" w:rsidRDefault="002325F1" w:rsidP="002325F1">
      <w:r w:rsidRPr="002325F1">
        <w:rPr>
          <w:b/>
          <w:lang w:val="en-US"/>
        </w:rPr>
        <w:t xml:space="preserve">Potential advantage of therapeutic plasma exchange over intravenous immunoglobulin in children with axonal variant of Guillain-Barré syndrome: A report of six </w:t>
      </w:r>
      <w:proofErr w:type="spellStart"/>
      <w:r w:rsidRPr="002325F1">
        <w:rPr>
          <w:b/>
          <w:lang w:val="en-US"/>
        </w:rPr>
        <w:t>paediatric</w:t>
      </w:r>
      <w:proofErr w:type="spellEnd"/>
      <w:r w:rsidRPr="002325F1">
        <w:rPr>
          <w:b/>
          <w:lang w:val="en-US"/>
        </w:rPr>
        <w:t xml:space="preserve"> cases.</w:t>
      </w:r>
      <w:r>
        <w:rPr>
          <w:b/>
          <w:lang w:val="en-US"/>
        </w:rPr>
        <w:t xml:space="preserve"> </w:t>
      </w:r>
      <w:proofErr w:type="spellStart"/>
      <w:r w:rsidRPr="006F691B">
        <w:t>Joyisa</w:t>
      </w:r>
      <w:proofErr w:type="spellEnd"/>
      <w:r w:rsidRPr="006F691B">
        <w:t xml:space="preserve"> Deb et al. Pages 112-117</w:t>
      </w:r>
    </w:p>
    <w:p w:rsidR="002325F1" w:rsidRPr="00B95D11" w:rsidRDefault="00B95D11" w:rsidP="002325F1">
      <w:pPr>
        <w:rPr>
          <w:i/>
        </w:rPr>
      </w:pPr>
      <w:r w:rsidRPr="00B95D11">
        <w:rPr>
          <w:i/>
        </w:rPr>
        <w:t xml:space="preserve">Présentation de 6 cas cliniques d’une forme particulière de syndrome de Guillain-Barré avec inefficacité des </w:t>
      </w:r>
      <w:proofErr w:type="spellStart"/>
      <w:r w:rsidRPr="00B95D11">
        <w:rPr>
          <w:i/>
        </w:rPr>
        <w:t>IvIG</w:t>
      </w:r>
      <w:proofErr w:type="spellEnd"/>
      <w:r w:rsidRPr="00B95D11">
        <w:rPr>
          <w:i/>
        </w:rPr>
        <w:t xml:space="preserve"> et justifiant des échanges plasmatiques en priorité.</w:t>
      </w:r>
    </w:p>
    <w:p w:rsidR="002325F1" w:rsidRPr="006F691B" w:rsidRDefault="002325F1" w:rsidP="002325F1">
      <w:r w:rsidRPr="002325F1">
        <w:rPr>
          <w:b/>
          <w:lang w:val="en-US"/>
        </w:rPr>
        <w:t>Blood group misinformation impacting the attendant’s decision-making for a timely blood transfusion to their patient: An ethical dilemma.</w:t>
      </w:r>
      <w:r>
        <w:rPr>
          <w:b/>
          <w:lang w:val="en-US"/>
        </w:rPr>
        <w:t xml:space="preserve"> </w:t>
      </w:r>
      <w:r w:rsidRPr="006F691B">
        <w:t xml:space="preserve">Manish </w:t>
      </w:r>
      <w:proofErr w:type="spellStart"/>
      <w:r w:rsidRPr="006F691B">
        <w:t>Raturi</w:t>
      </w:r>
      <w:proofErr w:type="spellEnd"/>
      <w:r w:rsidRPr="006F691B">
        <w:t xml:space="preserve"> et al. Pages 118-120</w:t>
      </w:r>
    </w:p>
    <w:p w:rsidR="002325F1" w:rsidRPr="00B95D11" w:rsidRDefault="00B95D11" w:rsidP="002325F1">
      <w:pPr>
        <w:rPr>
          <w:i/>
        </w:rPr>
      </w:pPr>
      <w:r w:rsidRPr="00B95D11">
        <w:rPr>
          <w:i/>
        </w:rPr>
        <w:t>Cas clinique de retard transfusionnel lié à la contestation d’un résultat de groupage sanguin.</w:t>
      </w:r>
    </w:p>
    <w:p w:rsidR="002325F1" w:rsidRPr="006F691B" w:rsidRDefault="002325F1" w:rsidP="002325F1">
      <w:r w:rsidRPr="002325F1">
        <w:rPr>
          <w:b/>
          <w:lang w:val="en-US"/>
        </w:rPr>
        <w:t>A false alarm of hemolytic transfusion reaction.</w:t>
      </w:r>
      <w:r>
        <w:rPr>
          <w:b/>
          <w:lang w:val="en-US"/>
        </w:rPr>
        <w:t xml:space="preserve"> </w:t>
      </w:r>
      <w:proofErr w:type="spellStart"/>
      <w:r>
        <w:t>Priyadarsini</w:t>
      </w:r>
      <w:proofErr w:type="spellEnd"/>
      <w:r>
        <w:t xml:space="preserve"> </w:t>
      </w:r>
      <w:proofErr w:type="spellStart"/>
      <w:r>
        <w:t>Jayachandran</w:t>
      </w:r>
      <w:proofErr w:type="spellEnd"/>
      <w:r>
        <w:t xml:space="preserve"> Arcot et al. </w:t>
      </w:r>
      <w:r w:rsidRPr="006F691B">
        <w:t>Pages 121-123</w:t>
      </w:r>
    </w:p>
    <w:p w:rsidR="002325F1" w:rsidRPr="00506472" w:rsidRDefault="00506472" w:rsidP="002325F1">
      <w:pPr>
        <w:rPr>
          <w:i/>
        </w:rPr>
      </w:pPr>
      <w:r w:rsidRPr="00506472">
        <w:rPr>
          <w:i/>
        </w:rPr>
        <w:t>Cas clinique d’un EIR mineur, mimant une réaction hémolytique aiguë.</w:t>
      </w:r>
    </w:p>
    <w:p w:rsidR="002325F1" w:rsidRDefault="002325F1" w:rsidP="002325F1">
      <w:r w:rsidRPr="002325F1">
        <w:rPr>
          <w:b/>
          <w:lang w:val="en-US"/>
        </w:rPr>
        <w:lastRenderedPageBreak/>
        <w:t>Hyperimmune plasma against COVID-19: Does it work or not?</w:t>
      </w:r>
      <w:r>
        <w:rPr>
          <w:b/>
          <w:lang w:val="en-US"/>
        </w:rPr>
        <w:t xml:space="preserve"> </w:t>
      </w:r>
      <w:r>
        <w:t xml:space="preserve">Massimo </w:t>
      </w:r>
      <w:proofErr w:type="spellStart"/>
      <w:r>
        <w:t>Franchini</w:t>
      </w:r>
      <w:proofErr w:type="spellEnd"/>
      <w:r w:rsidR="008065A2">
        <w:t xml:space="preserve"> et al. </w:t>
      </w:r>
      <w:r>
        <w:t>Pages 124-125</w:t>
      </w:r>
    </w:p>
    <w:p w:rsidR="008065A2" w:rsidRPr="00506472" w:rsidRDefault="00506472" w:rsidP="002325F1">
      <w:pPr>
        <w:rPr>
          <w:i/>
        </w:rPr>
      </w:pPr>
      <w:r w:rsidRPr="00506472">
        <w:rPr>
          <w:i/>
        </w:rPr>
        <w:t>Commentaire sur l’utilisation du plasma hyper immun pendant le COVID, largement sous (ou mal) utilisé.</w:t>
      </w:r>
    </w:p>
    <w:p w:rsidR="002325F1" w:rsidRPr="006F691B" w:rsidRDefault="002325F1" w:rsidP="002325F1">
      <w:r w:rsidRPr="008065A2">
        <w:rPr>
          <w:b/>
          <w:lang w:val="en-US"/>
        </w:rPr>
        <w:t xml:space="preserve">Beyond royalty: Unraveling the mystery of bluish </w:t>
      </w:r>
      <w:proofErr w:type="spellStart"/>
      <w:r w:rsidRPr="008065A2">
        <w:rPr>
          <w:b/>
          <w:lang w:val="en-US"/>
        </w:rPr>
        <w:t>discolouration</w:t>
      </w:r>
      <w:proofErr w:type="spellEnd"/>
      <w:r w:rsidRPr="008065A2">
        <w:rPr>
          <w:b/>
          <w:lang w:val="en-US"/>
        </w:rPr>
        <w:t xml:space="preserve"> in the blood transfusion set</w:t>
      </w:r>
      <w:r w:rsidR="008065A2" w:rsidRPr="008065A2">
        <w:rPr>
          <w:b/>
          <w:lang w:val="en-US"/>
        </w:rPr>
        <w:t>.</w:t>
      </w:r>
      <w:r w:rsidR="008065A2">
        <w:rPr>
          <w:b/>
          <w:lang w:val="en-US"/>
        </w:rPr>
        <w:t xml:space="preserve"> </w:t>
      </w:r>
      <w:r w:rsidRPr="006F691B">
        <w:t xml:space="preserve">Manish </w:t>
      </w:r>
      <w:proofErr w:type="spellStart"/>
      <w:r w:rsidRPr="006F691B">
        <w:t>Raturi</w:t>
      </w:r>
      <w:proofErr w:type="spellEnd"/>
      <w:r w:rsidR="008065A2" w:rsidRPr="006F691B">
        <w:t xml:space="preserve"> et al. </w:t>
      </w:r>
      <w:r w:rsidRPr="006F691B">
        <w:t>Pages 126-127</w:t>
      </w:r>
    </w:p>
    <w:p w:rsidR="008065A2" w:rsidRPr="00506472" w:rsidRDefault="00506472" w:rsidP="002325F1">
      <w:pPr>
        <w:rPr>
          <w:i/>
        </w:rPr>
      </w:pPr>
      <w:r w:rsidRPr="00506472">
        <w:rPr>
          <w:i/>
        </w:rPr>
        <w:t xml:space="preserve">Cas clinique d’une transfusion arrêtée du fait d’une teinte bleue de la tubulure du perfuseur, en lien avec le plastique </w:t>
      </w:r>
      <w:r>
        <w:rPr>
          <w:i/>
        </w:rPr>
        <w:t>utilisé</w:t>
      </w:r>
      <w:r w:rsidRPr="00506472">
        <w:rPr>
          <w:i/>
        </w:rPr>
        <w:t xml:space="preserve"> par le fabricant.</w:t>
      </w:r>
    </w:p>
    <w:p w:rsidR="002325F1" w:rsidRDefault="002325F1" w:rsidP="002325F1">
      <w:r w:rsidRPr="008065A2">
        <w:rPr>
          <w:b/>
          <w:lang w:val="en-US"/>
        </w:rPr>
        <w:t>The tireless journey of the resilient little red blood cell</w:t>
      </w:r>
      <w:r w:rsidR="008065A2" w:rsidRPr="008065A2">
        <w:rPr>
          <w:b/>
          <w:lang w:val="en-US"/>
        </w:rPr>
        <w:t>.</w:t>
      </w:r>
      <w:r w:rsidR="008065A2">
        <w:rPr>
          <w:b/>
          <w:lang w:val="en-US"/>
        </w:rPr>
        <w:t xml:space="preserve"> </w:t>
      </w:r>
      <w:r w:rsidRPr="008065A2">
        <w:t xml:space="preserve">Manish </w:t>
      </w:r>
      <w:proofErr w:type="spellStart"/>
      <w:r w:rsidRPr="008065A2">
        <w:t>Raturi</w:t>
      </w:r>
      <w:proofErr w:type="spellEnd"/>
      <w:r w:rsidR="008065A2" w:rsidRPr="008065A2">
        <w:t xml:space="preserve"> et a</w:t>
      </w:r>
      <w:r w:rsidR="008065A2">
        <w:t xml:space="preserve">l. </w:t>
      </w:r>
      <w:r w:rsidRPr="008065A2">
        <w:t>Page 128</w:t>
      </w:r>
    </w:p>
    <w:p w:rsidR="008065A2" w:rsidRPr="006C6D2E" w:rsidRDefault="00506472" w:rsidP="002325F1">
      <w:pPr>
        <w:rPr>
          <w:i/>
        </w:rPr>
      </w:pPr>
      <w:r w:rsidRPr="006C6D2E">
        <w:rPr>
          <w:i/>
        </w:rPr>
        <w:t xml:space="preserve">Rappel poétique </w:t>
      </w:r>
      <w:r w:rsidR="006C6D2E" w:rsidRPr="006C6D2E">
        <w:rPr>
          <w:i/>
        </w:rPr>
        <w:t>des propriétés du globule rouge.</w:t>
      </w:r>
    </w:p>
    <w:p w:rsidR="006C6D2E" w:rsidRPr="008065A2" w:rsidRDefault="006C6D2E" w:rsidP="002325F1"/>
    <w:sectPr w:rsidR="006C6D2E" w:rsidRPr="00806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F1"/>
    <w:rsid w:val="0010681D"/>
    <w:rsid w:val="00156D29"/>
    <w:rsid w:val="001702DD"/>
    <w:rsid w:val="002325F1"/>
    <w:rsid w:val="00506472"/>
    <w:rsid w:val="0068496F"/>
    <w:rsid w:val="006C6D2E"/>
    <w:rsid w:val="006F691B"/>
    <w:rsid w:val="007E026F"/>
    <w:rsid w:val="008065A2"/>
    <w:rsid w:val="00872352"/>
    <w:rsid w:val="00923138"/>
    <w:rsid w:val="00A049E4"/>
    <w:rsid w:val="00A438EF"/>
    <w:rsid w:val="00B95D11"/>
    <w:rsid w:val="00BA5115"/>
    <w:rsid w:val="00BA54C6"/>
    <w:rsid w:val="00BE6C7C"/>
    <w:rsid w:val="00C02EB3"/>
    <w:rsid w:val="00DE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BFB17"/>
  <w15:chartTrackingRefBased/>
  <w15:docId w15:val="{52D7F1E0-EBC5-44C6-920E-AAF6690F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6F69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6F69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F691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6F691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945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EFS</Company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 Jean-Yves</dc:creator>
  <cp:keywords/>
  <dc:description/>
  <cp:lastModifiedBy>PY Jean-Yves</cp:lastModifiedBy>
  <cp:revision>7</cp:revision>
  <dcterms:created xsi:type="dcterms:W3CDTF">2025-03-23T10:19:00Z</dcterms:created>
  <dcterms:modified xsi:type="dcterms:W3CDTF">2025-03-24T09:57:00Z</dcterms:modified>
</cp:coreProperties>
</file>